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4AF5C">
      <w:pPr>
        <w:rPr>
          <w:rFonts w:hAnsi="Arial"/>
          <w:b/>
          <w:bCs/>
          <w:color w:val="000000"/>
          <w:sz w:val="56"/>
          <w:szCs w:val="56"/>
        </w:rPr>
      </w:pPr>
      <w:r>
        <w:rPr>
          <w:rFonts w:hAnsi="Arial"/>
          <w:b/>
          <w:bCs/>
          <w:color w:val="000000"/>
          <w:sz w:val="56"/>
          <w:szCs w:val="5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6350</wp:posOffset>
            </wp:positionV>
            <wp:extent cx="800100" cy="781050"/>
            <wp:effectExtent l="0" t="0" r="0" b="0"/>
            <wp:wrapNone/>
            <wp:docPr id="1323246442" name="图片 3" descr="徽标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246442" name="图片 3" descr="徽标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Arial"/>
          <w:b/>
          <w:bCs/>
          <w:color w:val="000000"/>
          <w:sz w:val="56"/>
          <w:szCs w:val="56"/>
        </w:rPr>
        <w:t>p</w:t>
      </w:r>
    </w:p>
    <w:p w14:paraId="63586790">
      <w:pPr>
        <w:ind w:left="1980" w:leftChars="857" w:hanging="180" w:hangingChars="32"/>
        <w:jc w:val="center"/>
        <w:rPr>
          <w:rFonts w:hAnsi="Arial"/>
          <w:b/>
          <w:bCs/>
          <w:color w:val="000000"/>
          <w:sz w:val="56"/>
          <w:szCs w:val="56"/>
        </w:rPr>
      </w:pPr>
      <w:r>
        <w:rPr>
          <w:rFonts w:hint="eastAsia" w:hAnsi="Arial"/>
          <w:b/>
          <w:bCs/>
          <w:color w:val="000000"/>
          <w:sz w:val="56"/>
          <w:szCs w:val="5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906780</wp:posOffset>
            </wp:positionH>
            <wp:positionV relativeFrom="paragraph">
              <wp:posOffset>93345</wp:posOffset>
            </wp:positionV>
            <wp:extent cx="4079875" cy="1145540"/>
            <wp:effectExtent l="0" t="0" r="0" b="0"/>
            <wp:wrapNone/>
            <wp:docPr id="1652377400" name="图片 2" descr="卡通画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377400" name="图片 2" descr="卡通画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9875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89E4FD">
      <w:pPr>
        <w:ind w:left="1980" w:leftChars="857" w:hanging="180" w:hangingChars="32"/>
        <w:jc w:val="center"/>
        <w:rPr>
          <w:rFonts w:hAnsi="Arial"/>
          <w:b/>
          <w:bCs/>
          <w:color w:val="000000"/>
          <w:sz w:val="56"/>
          <w:szCs w:val="56"/>
        </w:rPr>
      </w:pPr>
    </w:p>
    <w:p w14:paraId="3222AA68">
      <w:pPr>
        <w:rPr>
          <w:rFonts w:ascii="黑体" w:hAnsi="Arial" w:eastAsia="黑体"/>
          <w:b/>
          <w:bCs/>
          <w:color w:val="000000"/>
          <w:sz w:val="48"/>
          <w:szCs w:val="48"/>
        </w:rPr>
      </w:pPr>
      <w:r>
        <w:rPr>
          <w:rFonts w:hint="eastAsia" w:ascii="黑体" w:hAnsi="Arial" w:eastAsia="黑体"/>
          <w:b/>
          <w:bCs/>
          <w:color w:val="000000"/>
          <w:sz w:val="48"/>
          <w:szCs w:val="48"/>
        </w:rPr>
        <w:t xml:space="preserve">      </w:t>
      </w:r>
    </w:p>
    <w:p w14:paraId="76F03237">
      <w:pPr>
        <w:rPr>
          <w:rFonts w:ascii="黑体" w:hAnsi="Arial" w:eastAsia="黑体"/>
          <w:b/>
          <w:bCs/>
          <w:color w:val="000000"/>
          <w:sz w:val="48"/>
          <w:szCs w:val="48"/>
        </w:rPr>
      </w:pPr>
      <w:r>
        <w:rPr>
          <w:rFonts w:hint="eastAsia" w:ascii="黑体" w:hAnsi="Arial" w:eastAsia="黑体"/>
          <w:b/>
          <w:bCs/>
          <w:color w:val="000000"/>
          <w:sz w:val="48"/>
          <w:szCs w:val="48"/>
        </w:rPr>
        <w:t xml:space="preserve">           </w:t>
      </w:r>
    </w:p>
    <w:p w14:paraId="77C37165">
      <w:pPr>
        <w:jc w:val="center"/>
        <w:rPr>
          <w:rFonts w:ascii="黑体" w:hAnsi="Arial" w:eastAsia="黑体"/>
          <w:b/>
          <w:bCs/>
          <w:color w:val="000000"/>
          <w:sz w:val="36"/>
          <w:szCs w:val="36"/>
          <w:u w:val="single"/>
        </w:rPr>
      </w:pPr>
      <w:r>
        <w:rPr>
          <w:rFonts w:hint="eastAsia" w:ascii="黑体" w:hAnsi="Arial" w:eastAsia="黑体"/>
          <w:b/>
          <w:bCs/>
          <w:color w:val="000000"/>
          <w:sz w:val="48"/>
          <w:szCs w:val="48"/>
        </w:rPr>
        <w:t xml:space="preserve">  课程分析报告</w:t>
      </w:r>
    </w:p>
    <w:p w14:paraId="1FE234FE">
      <w:pPr>
        <w:ind w:left="1953" w:leftChars="930" w:firstLine="241" w:firstLineChars="50"/>
        <w:rPr>
          <w:rFonts w:ascii="仿宋_GB2312" w:hAnsi="Arial" w:eastAsia="仿宋_GB2312"/>
          <w:b/>
          <w:bCs/>
          <w:color w:val="000000"/>
          <w:sz w:val="48"/>
          <w:szCs w:val="48"/>
        </w:rPr>
      </w:pPr>
    </w:p>
    <w:p w14:paraId="4417AD25">
      <w:pPr>
        <w:ind w:left="1953" w:leftChars="930" w:firstLine="241" w:firstLineChars="50"/>
        <w:rPr>
          <w:rFonts w:ascii="仿宋_GB2312" w:hAnsi="Arial" w:eastAsia="仿宋_GB2312"/>
          <w:b/>
          <w:bCs/>
          <w:color w:val="000000"/>
          <w:sz w:val="48"/>
          <w:szCs w:val="48"/>
        </w:rPr>
      </w:pPr>
    </w:p>
    <w:p w14:paraId="5B5A391C">
      <w:pPr>
        <w:ind w:left="1800" w:leftChars="857"/>
        <w:jc w:val="left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4359275</wp:posOffset>
                </wp:positionH>
                <wp:positionV relativeFrom="paragraph">
                  <wp:posOffset>20320</wp:posOffset>
                </wp:positionV>
                <wp:extent cx="1155700" cy="2755900"/>
                <wp:effectExtent l="0" t="3175" r="0" b="3175"/>
                <wp:wrapNone/>
                <wp:docPr id="901403393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275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B5906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343.25pt;margin-top:1.6pt;height:217pt;width:91pt;z-index:251662336;mso-width-relative:page;mso-height-relative:page;" fillcolor="#FFFFFF" filled="t" stroked="f" coordsize="21600,21600" o:gfxdata="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Fk7wvXAAAACQEAAA8AAAAAAAAAAQAgAAAAIgAAAGRycy9kb3ducmV2LnhtbFBL&#10;AQIUABQAAAAIAIdO4kAW4XHTMAIAAEcEAAAOAAAAAAAAAAEAIAAAACYBAABkcnMvZTJvRG9jLnht&#10;bFBLBQYAAAAABgAGAFkBAAD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B59066D"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课程名称：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   智能财务分析与决策               </w:t>
      </w:r>
    </w:p>
    <w:p w14:paraId="2F4DCAC1">
      <w:pPr>
        <w:ind w:left="1800" w:leftChars="857"/>
        <w:jc w:val="left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学    院：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     管理学院              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    </w:t>
      </w:r>
    </w:p>
    <w:p w14:paraId="566810F3">
      <w:pPr>
        <w:ind w:left="1800" w:leftChars="857"/>
        <w:jc w:val="left"/>
        <w:rPr>
          <w:rFonts w:hint="eastAsia" w:ascii="宋体" w:hAnsi="宋体"/>
          <w:b/>
          <w:bCs/>
          <w:color w:val="000000"/>
          <w:sz w:val="32"/>
          <w:szCs w:val="32"/>
          <w:u w:val="single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专业班级：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   </w:t>
      </w:r>
      <w:r>
        <w:rPr>
          <w:rFonts w:ascii="宋体" w:hAnsi="宋体"/>
          <w:b/>
          <w:bCs/>
          <w:color w:val="000000"/>
          <w:sz w:val="32"/>
          <w:szCs w:val="32"/>
          <w:u w:val="single"/>
        </w:rPr>
        <w:t xml:space="preserve">                   </w:t>
      </w:r>
    </w:p>
    <w:p w14:paraId="715F1503">
      <w:pPr>
        <w:ind w:left="1800" w:leftChars="857"/>
        <w:jc w:val="left"/>
        <w:rPr>
          <w:rFonts w:hint="eastAsia" w:ascii="宋体" w:hAnsi="宋体"/>
          <w:b/>
          <w:bCs/>
          <w:color w:val="000000"/>
          <w:sz w:val="32"/>
          <w:szCs w:val="32"/>
          <w:u w:val="single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学    号：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</w:t>
      </w:r>
    </w:p>
    <w:p w14:paraId="67B61304">
      <w:pPr>
        <w:ind w:left="1800" w:leftChars="857"/>
        <w:jc w:val="left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姓    名：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</w:t>
      </w:r>
    </w:p>
    <w:p w14:paraId="4F047544">
      <w:pPr>
        <w:ind w:left="1800" w:leftChars="857"/>
        <w:jc w:val="left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任课教师：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       张军波              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  </w:t>
      </w:r>
    </w:p>
    <w:p w14:paraId="7913925C">
      <w:pPr>
        <w:ind w:left="1800" w:leftChars="857" w:firstLine="1269" w:firstLineChars="395"/>
        <w:rPr>
          <w:rFonts w:hAnsi="Arial"/>
          <w:b/>
          <w:bCs/>
          <w:color w:val="000000"/>
          <w:sz w:val="32"/>
          <w:szCs w:val="32"/>
        </w:rPr>
      </w:pPr>
    </w:p>
    <w:p w14:paraId="7EE2B965">
      <w:pPr>
        <w:ind w:left="1800" w:leftChars="857" w:firstLine="1269" w:firstLineChars="395"/>
        <w:rPr>
          <w:rFonts w:hAnsi="Arial"/>
          <w:b/>
          <w:bCs/>
          <w:color w:val="000000"/>
          <w:sz w:val="32"/>
          <w:szCs w:val="32"/>
        </w:rPr>
      </w:pPr>
    </w:p>
    <w:p w14:paraId="5AEF6022">
      <w:pPr>
        <w:ind w:left="1800" w:leftChars="857" w:firstLine="1269" w:firstLineChars="395"/>
        <w:rPr>
          <w:rFonts w:hAnsi="Arial"/>
          <w:b/>
          <w:bCs/>
          <w:color w:val="000000"/>
          <w:sz w:val="32"/>
          <w:szCs w:val="32"/>
        </w:rPr>
      </w:pPr>
    </w:p>
    <w:p w14:paraId="2C47EFB7">
      <w:pPr>
        <w:rPr>
          <w:rFonts w:hAnsi="Arial"/>
          <w:b/>
          <w:bCs/>
          <w:color w:val="000000"/>
          <w:sz w:val="32"/>
          <w:szCs w:val="32"/>
        </w:rPr>
      </w:pPr>
      <w:r>
        <w:rPr>
          <w:rFonts w:hint="eastAsia" w:hAnsi="Arial"/>
          <w:b/>
          <w:bCs/>
          <w:color w:val="000000"/>
          <w:sz w:val="32"/>
          <w:szCs w:val="32"/>
        </w:rPr>
        <w:t xml:space="preserve">                    2026年 </w:t>
      </w:r>
      <w:r>
        <w:rPr>
          <w:rFonts w:hAnsi="Arial"/>
          <w:b/>
          <w:bCs/>
          <w:color w:val="000000"/>
          <w:sz w:val="32"/>
          <w:szCs w:val="32"/>
        </w:rPr>
        <w:t xml:space="preserve">  </w:t>
      </w:r>
      <w:r>
        <w:rPr>
          <w:rFonts w:hint="eastAsia" w:hAnsi="Arial"/>
          <w:b/>
          <w:bCs/>
          <w:color w:val="000000"/>
          <w:sz w:val="32"/>
          <w:szCs w:val="32"/>
        </w:rPr>
        <w:t>月</w:t>
      </w:r>
      <w:r>
        <w:rPr>
          <w:rFonts w:hAnsi="Arial"/>
          <w:b/>
          <w:bCs/>
          <w:color w:val="000000"/>
          <w:sz w:val="32"/>
          <w:szCs w:val="32"/>
        </w:rPr>
        <w:t xml:space="preserve">   </w:t>
      </w:r>
      <w:r>
        <w:rPr>
          <w:rFonts w:hint="eastAsia" w:hAnsi="Arial"/>
          <w:b/>
          <w:bCs/>
          <w:color w:val="000000"/>
          <w:sz w:val="32"/>
          <w:szCs w:val="32"/>
        </w:rPr>
        <w:t>日</w:t>
      </w:r>
    </w:p>
    <w:p w14:paraId="0B6C6C6C">
      <w:pPr>
        <w:spacing w:before="120" w:after="120" w:line="360" w:lineRule="auto"/>
        <w:outlineLvl w:val="0"/>
        <w:rPr>
          <w:rFonts w:ascii="宋体" w:hAnsi="宋体" w:eastAsia="宋体"/>
          <w:b/>
          <w:color w:val="000000"/>
          <w:sz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bookmarkStart w:id="0" w:name="_Toc233192981"/>
    </w:p>
    <w:p w14:paraId="2054BB45">
      <w:pPr>
        <w:spacing w:before="120" w:after="120" w:line="360" w:lineRule="auto"/>
        <w:jc w:val="center"/>
        <w:outlineLvl w:val="9"/>
      </w:pPr>
      <w:r>
        <w:rPr>
          <w:rFonts w:ascii="宋体" w:hAnsi="宋体" w:eastAsia="宋体"/>
          <w:b/>
          <w:color w:val="000000"/>
          <w:sz w:val="24"/>
        </w:rPr>
        <w:t>目录</w:t>
      </w:r>
      <w:bookmarkEnd w:id="0"/>
    </w:p>
    <w:p w14:paraId="23A588CD">
      <w:pPr>
        <w:pStyle w:val="6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TOC \o "1-2" \h \z \u</w:instrText>
      </w:r>
      <w:r>
        <w:fldChar w:fldCharType="separate"/>
      </w:r>
      <w:r>
        <w:fldChar w:fldCharType="begin"/>
      </w:r>
      <w:r>
        <w:instrText xml:space="preserve"> HYPERLINK \l "_Toc233192982"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一、概述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_Toc233192982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207DE256">
      <w:pPr>
        <w:pStyle w:val="6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"_Toc233192983"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二、分析思路与方法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_Toc233192983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1860CA1F">
      <w:pPr>
        <w:pStyle w:val="6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"_Toc233192984"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三、任务一：美的集团财务分析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_Toc233192984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5436C8AC">
      <w:pPr>
        <w:pStyle w:val="7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"_Toc233192985"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（一）公司简介与数据来源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_Toc233192985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54BD5E47">
      <w:pPr>
        <w:pStyle w:val="7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"_Toc233192986"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（二）盈利能力分析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_Toc233192986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7FD6A3EE">
      <w:pPr>
        <w:pStyle w:val="7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"_Toc233192987"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（三）偿债能力与杜邦分析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_Toc233192987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685BCF01">
      <w:pPr>
        <w:pStyle w:val="7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"_Toc233192988"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（四）任务一结论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_Toc233192988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4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252148C9">
      <w:pPr>
        <w:pStyle w:val="6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"_Toc233192989"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四、任务二：Python 应用案例分析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_Toc233192989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08F1FE52">
      <w:pPr>
        <w:pStyle w:val="7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"_Toc233192990"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（一）案例0：东方公司收支数据分析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_Toc233192990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46B64536">
      <w:pPr>
        <w:pStyle w:val="7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"_Toc233192991"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（二）案例1：宏大公司各地区销售数据分析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_Toc233192991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5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598A1603">
      <w:pPr>
        <w:pStyle w:val="6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"_Toc233192992"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五、分析结论与拓展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_Toc233192992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6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217B526D">
      <w:pPr>
        <w:pStyle w:val="6"/>
        <w:tabs>
          <w:tab w:val="right" w:leader="dot" w:pos="8296"/>
        </w:tabs>
        <w:rPr>
          <w:rFonts w:hint="eastAsia"/>
          <w:sz w:val="22"/>
          <w14:ligatures w14:val="standardContextual"/>
        </w:rPr>
      </w:pPr>
      <w:r>
        <w:fldChar w:fldCharType="begin"/>
      </w:r>
      <w:r>
        <w:instrText xml:space="preserve"> HYPERLINK \l "_Toc233192993" </w:instrText>
      </w:r>
      <w:r>
        <w:fldChar w:fldCharType="separate"/>
      </w:r>
      <w:r>
        <w:rPr>
          <w:rStyle w:val="12"/>
          <w:rFonts w:ascii="宋体" w:hAnsi="宋体" w:eastAsia="宋体"/>
          <w:b/>
        </w:rPr>
        <w:t>六、课程总结与心得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_Toc233192993 \h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t>7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1E58E826">
      <w:r>
        <w:fldChar w:fldCharType="end"/>
      </w:r>
    </w:p>
    <w:p w14:paraId="51EE8FAE">
      <w:pPr>
        <w:spacing w:before="120" w:after="120" w:line="360" w:lineRule="auto"/>
        <w:outlineLvl w:val="0"/>
        <w:rPr>
          <w:rFonts w:ascii="宋体" w:hAnsi="宋体" w:eastAsia="宋体"/>
          <w:b/>
          <w:color w:val="000000"/>
          <w:sz w:val="24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bookmarkStart w:id="1" w:name="_Toc233192982"/>
    </w:p>
    <w:p w14:paraId="3B395090">
      <w:pPr>
        <w:spacing w:before="120" w:after="120" w:line="360" w:lineRule="auto"/>
        <w:outlineLvl w:val="0"/>
        <w:rPr>
          <w:sz w:val="28"/>
          <w:szCs w:val="28"/>
        </w:rPr>
      </w:pPr>
      <w:r>
        <w:rPr>
          <w:rFonts w:ascii="宋体" w:hAnsi="宋体" w:eastAsia="宋体"/>
          <w:b/>
          <w:color w:val="000000"/>
          <w:sz w:val="28"/>
          <w:szCs w:val="28"/>
        </w:rPr>
        <w:t>一、概述</w:t>
      </w:r>
      <w:bookmarkEnd w:id="1"/>
    </w:p>
    <w:p w14:paraId="20D468CD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课程围绕业财融合与数据驱动决策，系统学习了使用 Python 进行财务数据获取、清洗、分析与可视化的方法。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>我</w:t>
      </w:r>
      <w:r>
        <w:rPr>
          <w:rFonts w:ascii="宋体" w:hAnsi="宋体" w:eastAsia="宋体"/>
          <w:color w:val="000000"/>
          <w:sz w:val="24"/>
        </w:rPr>
        <w:t>结合课程的理论知识与上机实验内容，完成两部分实践：任务一以上市公司美的集团（000333）为对象，进行 2020-2024 年的财务比率分析与经营诊断；任务二选取两个企业经营管理应用案例（东方公司收支分析、宏大公司各地区销售分析），用 Python 完成数据处理与分析。全部数据的采集、分析与可视化均通过 Python 代码实现。</w:t>
      </w:r>
    </w:p>
    <w:p w14:paraId="0FC534B3">
      <w:pPr>
        <w:spacing w:before="120" w:after="120" w:line="360" w:lineRule="auto"/>
        <w:outlineLvl w:val="0"/>
        <w:rPr>
          <w:rFonts w:ascii="宋体" w:hAnsi="宋体" w:eastAsia="宋体"/>
          <w:b/>
          <w:color w:val="000000"/>
          <w:sz w:val="28"/>
          <w:szCs w:val="28"/>
        </w:rPr>
      </w:pPr>
      <w:bookmarkStart w:id="2" w:name="_Toc233192983"/>
      <w:r>
        <w:rPr>
          <w:rFonts w:ascii="宋体" w:hAnsi="宋体" w:eastAsia="宋体"/>
          <w:b/>
          <w:color w:val="000000"/>
          <w:sz w:val="28"/>
          <w:szCs w:val="28"/>
        </w:rPr>
        <w:t>二、分析思路与方法</w:t>
      </w:r>
      <w:bookmarkEnd w:id="2"/>
    </w:p>
    <w:p w14:paraId="1B8381A9">
      <w:pPr>
        <w:spacing w:line="360" w:lineRule="auto"/>
        <w:ind w:firstLine="480"/>
      </w:pPr>
      <w:r>
        <w:rPr>
          <w:rFonts w:hint="eastAsia" w:ascii="宋体" w:hAnsi="宋体" w:eastAsia="宋体"/>
          <w:color w:val="000000"/>
          <w:sz w:val="24"/>
          <w:lang w:val="en-US" w:eastAsia="zh-CN"/>
        </w:rPr>
        <w:t>我</w:t>
      </w:r>
      <w:r>
        <w:rPr>
          <w:rFonts w:ascii="宋体" w:hAnsi="宋体" w:eastAsia="宋体"/>
          <w:color w:val="000000"/>
          <w:sz w:val="24"/>
        </w:rPr>
        <w:t>遵循"数据获取、数据清洗、指标计算、可视化、经营诊断"的分析流程：</w:t>
      </w:r>
    </w:p>
    <w:p w14:paraId="1F11E093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（一）数据获取：任务一通过 tushare 财经数据接口获取美的集团的资产负债表、利润表和现金流量表；任务二读取 Excel 数据表。</w:t>
      </w:r>
    </w:p>
    <w:p w14:paraId="0BE13961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（二）数据清洗：选取分析所需字段，统一中文列名，合并报表并填充缺失值。</w:t>
      </w:r>
    </w:p>
    <w:p w14:paraId="5A62E6C6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（三）指标计算：计算盈利能力（毛利率、营业利润率、销售净利率）、偿债能力（流动比率、资产负债率）等指标，并用杜邦分析法分解净资产收益率。</w:t>
      </w:r>
    </w:p>
    <w:p w14:paraId="1F3C1E09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（四）可视化：使用 matplotlib 绘制折线图、柱状图和饼图，直观展示趋势与结构。</w:t>
      </w:r>
    </w:p>
    <w:p w14:paraId="60590C85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（五）经营诊断：结合指标与图表，分析公司经营状况并提出建议。</w:t>
      </w:r>
    </w:p>
    <w:p w14:paraId="53422E92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主要使用的 Python 库包括 pandas（数据处理）、tushare（数据获取）、matplotlib（可视化）、openpyxl（Excel 读写）。</w:t>
      </w:r>
    </w:p>
    <w:p w14:paraId="2D01723A">
      <w:pPr>
        <w:spacing w:before="120" w:after="120" w:line="360" w:lineRule="auto"/>
        <w:outlineLvl w:val="0"/>
        <w:rPr>
          <w:rFonts w:ascii="宋体" w:hAnsi="宋体" w:eastAsia="宋体"/>
          <w:b/>
          <w:color w:val="000000"/>
          <w:sz w:val="28"/>
          <w:szCs w:val="28"/>
        </w:rPr>
      </w:pPr>
      <w:bookmarkStart w:id="3" w:name="_Toc233192984"/>
      <w:r>
        <w:rPr>
          <w:rFonts w:ascii="宋体" w:hAnsi="宋体" w:eastAsia="宋体"/>
          <w:b/>
          <w:color w:val="000000"/>
          <w:sz w:val="28"/>
          <w:szCs w:val="28"/>
        </w:rPr>
        <w:t>三、任务一：美的集团财务分析</w:t>
      </w:r>
      <w:bookmarkEnd w:id="3"/>
    </w:p>
    <w:p w14:paraId="2B87F715">
      <w:pPr>
        <w:spacing w:before="120" w:after="120" w:line="360" w:lineRule="auto"/>
        <w:outlineLvl w:val="1"/>
      </w:pPr>
      <w:bookmarkStart w:id="4" w:name="_Toc233192985"/>
      <w:r>
        <w:rPr>
          <w:rFonts w:ascii="宋体" w:hAnsi="宋体" w:eastAsia="宋体"/>
          <w:b/>
          <w:color w:val="000000"/>
          <w:sz w:val="24"/>
        </w:rPr>
        <w:t>（一）公司简介与数据来源</w:t>
      </w:r>
      <w:bookmarkEnd w:id="4"/>
    </w:p>
    <w:p w14:paraId="1A1EBC92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美的集团（股票代码 000333）是我国家电行业龙头企业之一，业务涵盖暖通空调、消费电器、机器人与自动化等板块。本部分通过 tushare 接口获取其 2020-2024 年三大财务报表数据，共 5 个年度。</w:t>
      </w:r>
    </w:p>
    <w:p w14:paraId="2834DBA5">
      <w:pPr>
        <w:spacing w:before="120" w:after="120" w:line="360" w:lineRule="auto"/>
        <w:outlineLvl w:val="1"/>
      </w:pPr>
      <w:bookmarkStart w:id="5" w:name="_Toc233192986"/>
      <w:r>
        <w:rPr>
          <w:rFonts w:ascii="宋体" w:hAnsi="宋体" w:eastAsia="宋体"/>
          <w:b/>
          <w:color w:val="000000"/>
          <w:sz w:val="24"/>
        </w:rPr>
        <w:t>（二）盈利能力分析</w:t>
      </w:r>
      <w:bookmarkEnd w:id="5"/>
    </w:p>
    <w:p w14:paraId="07681812">
      <w:pPr>
        <w:rPr>
          <w:rFonts w:ascii="宋体" w:hAnsi="宋体" w:eastAsia="宋体"/>
          <w:color w:val="000000"/>
        </w:rPr>
      </w:pPr>
      <w:r>
        <w:rPr>
          <w:rFonts w:ascii="宋体" w:hAnsi="宋体" w:eastAsia="宋体"/>
          <w:color w:val="000000"/>
        </w:rPr>
        <w:br w:type="page"/>
      </w:r>
    </w:p>
    <w:p w14:paraId="0EDB2209">
      <w:pPr>
        <w:jc w:val="center"/>
      </w:pPr>
      <w:r>
        <w:rPr>
          <w:rFonts w:ascii="宋体" w:hAnsi="宋体" w:eastAsia="宋体"/>
          <w:color w:val="000000"/>
        </w:rPr>
        <w:t>表1 美的集团营业收入与净利润（单位：亿元）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9"/>
        <w:gridCol w:w="2769"/>
        <w:gridCol w:w="2769"/>
      </w:tblGrid>
      <w:tr w14:paraId="26F1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9" w:type="dxa"/>
          </w:tcPr>
          <w:p w14:paraId="07B565A0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年份</w:t>
            </w:r>
          </w:p>
        </w:tc>
        <w:tc>
          <w:tcPr>
            <w:tcW w:w="2769" w:type="dxa"/>
          </w:tcPr>
          <w:p w14:paraId="550860FF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营业收入</w:t>
            </w:r>
          </w:p>
        </w:tc>
        <w:tc>
          <w:tcPr>
            <w:tcW w:w="2769" w:type="dxa"/>
          </w:tcPr>
          <w:p w14:paraId="3D7E077B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净利润</w:t>
            </w:r>
          </w:p>
        </w:tc>
      </w:tr>
      <w:tr w14:paraId="071B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9" w:type="dxa"/>
          </w:tcPr>
          <w:p w14:paraId="23B76B19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2020</w:t>
            </w:r>
          </w:p>
        </w:tc>
        <w:tc>
          <w:tcPr>
            <w:tcW w:w="2769" w:type="dxa"/>
          </w:tcPr>
          <w:p w14:paraId="4E946C3B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2842.2</w:t>
            </w:r>
          </w:p>
        </w:tc>
        <w:tc>
          <w:tcPr>
            <w:tcW w:w="2769" w:type="dxa"/>
          </w:tcPr>
          <w:p w14:paraId="2F08FE95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275.1</w:t>
            </w:r>
          </w:p>
        </w:tc>
      </w:tr>
      <w:tr w14:paraId="56B9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9" w:type="dxa"/>
          </w:tcPr>
          <w:p w14:paraId="41C71394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2021</w:t>
            </w:r>
          </w:p>
        </w:tc>
        <w:tc>
          <w:tcPr>
            <w:tcW w:w="2769" w:type="dxa"/>
          </w:tcPr>
          <w:p w14:paraId="0D46ECCF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3412.3</w:t>
            </w:r>
          </w:p>
        </w:tc>
        <w:tc>
          <w:tcPr>
            <w:tcW w:w="2769" w:type="dxa"/>
          </w:tcPr>
          <w:p w14:paraId="74F78515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290.2</w:t>
            </w:r>
          </w:p>
        </w:tc>
      </w:tr>
      <w:tr w14:paraId="0D7F9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9" w:type="dxa"/>
          </w:tcPr>
          <w:p w14:paraId="219277D7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2022</w:t>
            </w:r>
          </w:p>
        </w:tc>
        <w:tc>
          <w:tcPr>
            <w:tcW w:w="2769" w:type="dxa"/>
          </w:tcPr>
          <w:p w14:paraId="0B0C2742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3439.2</w:t>
            </w:r>
          </w:p>
        </w:tc>
        <w:tc>
          <w:tcPr>
            <w:tcW w:w="2769" w:type="dxa"/>
          </w:tcPr>
          <w:p w14:paraId="6C4AD2A2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298.1</w:t>
            </w:r>
          </w:p>
        </w:tc>
      </w:tr>
      <w:tr w14:paraId="411DF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9" w:type="dxa"/>
          </w:tcPr>
          <w:p w14:paraId="720C367B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2023</w:t>
            </w:r>
          </w:p>
        </w:tc>
        <w:tc>
          <w:tcPr>
            <w:tcW w:w="2769" w:type="dxa"/>
          </w:tcPr>
          <w:p w14:paraId="59931367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3720.4</w:t>
            </w:r>
          </w:p>
        </w:tc>
        <w:tc>
          <w:tcPr>
            <w:tcW w:w="2769" w:type="dxa"/>
          </w:tcPr>
          <w:p w14:paraId="7A5C4708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337.5</w:t>
            </w:r>
          </w:p>
        </w:tc>
      </w:tr>
      <w:tr w14:paraId="67092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9" w:type="dxa"/>
          </w:tcPr>
          <w:p w14:paraId="36B2E99B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2024</w:t>
            </w:r>
          </w:p>
        </w:tc>
        <w:tc>
          <w:tcPr>
            <w:tcW w:w="2769" w:type="dxa"/>
          </w:tcPr>
          <w:p w14:paraId="08B8BA46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4071.5</w:t>
            </w:r>
          </w:p>
        </w:tc>
        <w:tc>
          <w:tcPr>
            <w:tcW w:w="2769" w:type="dxa"/>
          </w:tcPr>
          <w:p w14:paraId="31CED68A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387.6</w:t>
            </w:r>
          </w:p>
        </w:tc>
      </w:tr>
    </w:tbl>
    <w:p w14:paraId="66393C62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由表1和图1可见，2020-2024 年美的集团营业收入持续增长，由 2842.2 亿元增至 4071.5 亿元；净利润同步稳步增长，由 275.1 亿元增至 387.6 亿元，5 年累计增长约 41%，经营规模与盈利水平稳步扩大。</w:t>
      </w:r>
    </w:p>
    <w:p w14:paraId="3CCE5F42">
      <w:pPr>
        <w:spacing w:before="120"/>
        <w:jc w:val="center"/>
      </w:pPr>
      <w:r>
        <w:drawing>
          <wp:inline distT="0" distB="0" distL="0" distR="0">
            <wp:extent cx="4572000" cy="3086100"/>
            <wp:effectExtent l="0" t="0" r="0" b="0"/>
            <wp:docPr id="1652377401" name="Picture 1652377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377401" name="Picture 16523774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08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930C8">
      <w:pPr>
        <w:spacing w:after="120"/>
        <w:jc w:val="center"/>
      </w:pPr>
      <w:r>
        <w:rPr>
          <w:rFonts w:ascii="宋体" w:hAnsi="宋体" w:eastAsia="宋体"/>
          <w:color w:val="000000"/>
        </w:rPr>
        <w:t>图1 营业收入与净利润趋势</w:t>
      </w:r>
    </w:p>
    <w:p w14:paraId="4B413F46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进一步分析盈利质量（见图2），毛利率在 22%-26% 之间波动，2023-2024 年回升至 26% 以上；营业利润率稳定在 10%-11%，销售净利率稳定在 8.5%-9.5%，盈利质量整体保持平稳。</w:t>
      </w:r>
    </w:p>
    <w:p w14:paraId="2125395F">
      <w:pPr>
        <w:spacing w:before="120"/>
        <w:jc w:val="center"/>
      </w:pPr>
      <w:r>
        <w:drawing>
          <wp:inline distT="0" distB="0" distL="0" distR="0">
            <wp:extent cx="4572000" cy="3054985"/>
            <wp:effectExtent l="0" t="0" r="0" b="0"/>
            <wp:docPr id="1652377402" name="Picture 1652377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377402" name="Picture 16523774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055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6BC4B">
      <w:pPr>
        <w:spacing w:after="120"/>
        <w:jc w:val="center"/>
      </w:pPr>
      <w:r>
        <w:rPr>
          <w:rFonts w:ascii="宋体" w:hAnsi="宋体" w:eastAsia="宋体"/>
          <w:color w:val="000000"/>
        </w:rPr>
        <w:t>图2 盈利能力指标趋势</w:t>
      </w:r>
    </w:p>
    <w:p w14:paraId="7F42475C">
      <w:pPr>
        <w:spacing w:before="120" w:after="120" w:line="360" w:lineRule="auto"/>
        <w:outlineLvl w:val="1"/>
      </w:pPr>
      <w:bookmarkStart w:id="6" w:name="_Toc233192987"/>
      <w:r>
        <w:rPr>
          <w:rFonts w:ascii="宋体" w:hAnsi="宋体" w:eastAsia="宋体"/>
          <w:b/>
          <w:color w:val="000000"/>
          <w:sz w:val="24"/>
        </w:rPr>
        <w:t>（三）偿债能力与杜邦分析</w:t>
      </w:r>
      <w:bookmarkEnd w:id="6"/>
    </w:p>
    <w:p w14:paraId="2CB88484">
      <w:pPr>
        <w:jc w:val="center"/>
      </w:pPr>
      <w:r>
        <w:rPr>
          <w:rFonts w:ascii="宋体" w:hAnsi="宋体" w:eastAsia="宋体"/>
          <w:color w:val="000000"/>
        </w:rPr>
        <w:t>表2 美的集团主要财务比率（2020-2024）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 w14:paraId="6122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</w:tcPr>
          <w:p w14:paraId="3DC08B9A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年份</w:t>
            </w:r>
          </w:p>
        </w:tc>
        <w:tc>
          <w:tcPr>
            <w:tcW w:w="1187" w:type="dxa"/>
          </w:tcPr>
          <w:p w14:paraId="1EB87002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毛利率</w:t>
            </w:r>
          </w:p>
        </w:tc>
        <w:tc>
          <w:tcPr>
            <w:tcW w:w="1187" w:type="dxa"/>
          </w:tcPr>
          <w:p w14:paraId="24ADC722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营业利润率</w:t>
            </w:r>
          </w:p>
        </w:tc>
        <w:tc>
          <w:tcPr>
            <w:tcW w:w="1187" w:type="dxa"/>
          </w:tcPr>
          <w:p w14:paraId="39BD24FD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销售净利率</w:t>
            </w:r>
          </w:p>
        </w:tc>
        <w:tc>
          <w:tcPr>
            <w:tcW w:w="1187" w:type="dxa"/>
          </w:tcPr>
          <w:p w14:paraId="2840DC3F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流动比率</w:t>
            </w:r>
          </w:p>
        </w:tc>
        <w:tc>
          <w:tcPr>
            <w:tcW w:w="1187" w:type="dxa"/>
          </w:tcPr>
          <w:p w14:paraId="5B4E2AA9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资产负债率</w:t>
            </w:r>
          </w:p>
        </w:tc>
        <w:tc>
          <w:tcPr>
            <w:tcW w:w="1187" w:type="dxa"/>
          </w:tcPr>
          <w:p w14:paraId="60C78410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净资产收益率</w:t>
            </w:r>
          </w:p>
        </w:tc>
      </w:tr>
      <w:tr w14:paraId="6B9B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</w:tcPr>
          <w:p w14:paraId="79C52C96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2020</w:t>
            </w:r>
          </w:p>
        </w:tc>
        <w:tc>
          <w:tcPr>
            <w:tcW w:w="1187" w:type="dxa"/>
          </w:tcPr>
          <w:p w14:paraId="1C4C6025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25.1%</w:t>
            </w:r>
          </w:p>
        </w:tc>
        <w:tc>
          <w:tcPr>
            <w:tcW w:w="1187" w:type="dxa"/>
          </w:tcPr>
          <w:p w14:paraId="3911236A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11.1%</w:t>
            </w:r>
          </w:p>
        </w:tc>
        <w:tc>
          <w:tcPr>
            <w:tcW w:w="1187" w:type="dxa"/>
          </w:tcPr>
          <w:p w14:paraId="61886748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9.7%</w:t>
            </w:r>
          </w:p>
        </w:tc>
        <w:tc>
          <w:tcPr>
            <w:tcW w:w="1187" w:type="dxa"/>
          </w:tcPr>
          <w:p w14:paraId="48EF23D3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1.31</w:t>
            </w:r>
          </w:p>
        </w:tc>
        <w:tc>
          <w:tcPr>
            <w:tcW w:w="1187" w:type="dxa"/>
          </w:tcPr>
          <w:p w14:paraId="193E3A5C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65.5%</w:t>
            </w:r>
          </w:p>
        </w:tc>
        <w:tc>
          <w:tcPr>
            <w:tcW w:w="1187" w:type="dxa"/>
          </w:tcPr>
          <w:p w14:paraId="035193B2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22.2%</w:t>
            </w:r>
          </w:p>
        </w:tc>
      </w:tr>
      <w:tr w14:paraId="0B436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</w:tcPr>
          <w:p w14:paraId="54920677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2021</w:t>
            </w:r>
          </w:p>
        </w:tc>
        <w:tc>
          <w:tcPr>
            <w:tcW w:w="1187" w:type="dxa"/>
          </w:tcPr>
          <w:p w14:paraId="010EDA14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22.5%</w:t>
            </w:r>
          </w:p>
        </w:tc>
        <w:tc>
          <w:tcPr>
            <w:tcW w:w="1187" w:type="dxa"/>
          </w:tcPr>
          <w:p w14:paraId="31D0D263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9.8%</w:t>
            </w:r>
          </w:p>
        </w:tc>
        <w:tc>
          <w:tcPr>
            <w:tcW w:w="1187" w:type="dxa"/>
          </w:tcPr>
          <w:p w14:paraId="3323DE62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8.5%</w:t>
            </w:r>
          </w:p>
        </w:tc>
        <w:tc>
          <w:tcPr>
            <w:tcW w:w="1187" w:type="dxa"/>
          </w:tcPr>
          <w:p w14:paraId="02172059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1.12</w:t>
            </w:r>
          </w:p>
        </w:tc>
        <w:tc>
          <w:tcPr>
            <w:tcW w:w="1187" w:type="dxa"/>
          </w:tcPr>
          <w:p w14:paraId="4C409DC8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65.3%</w:t>
            </w:r>
          </w:p>
        </w:tc>
        <w:tc>
          <w:tcPr>
            <w:tcW w:w="1187" w:type="dxa"/>
          </w:tcPr>
          <w:p w14:paraId="65F1E0A1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21.5%</w:t>
            </w:r>
          </w:p>
        </w:tc>
      </w:tr>
      <w:tr w14:paraId="67CB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</w:tcPr>
          <w:p w14:paraId="33D00476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2022</w:t>
            </w:r>
          </w:p>
        </w:tc>
        <w:tc>
          <w:tcPr>
            <w:tcW w:w="1187" w:type="dxa"/>
          </w:tcPr>
          <w:p w14:paraId="4E47FA75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24.2%</w:t>
            </w:r>
          </w:p>
        </w:tc>
        <w:tc>
          <w:tcPr>
            <w:tcW w:w="1187" w:type="dxa"/>
          </w:tcPr>
          <w:p w14:paraId="3A60414E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10.1%</w:t>
            </w:r>
          </w:p>
        </w:tc>
        <w:tc>
          <w:tcPr>
            <w:tcW w:w="1187" w:type="dxa"/>
          </w:tcPr>
          <w:p w14:paraId="19B62F45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8.7%</w:t>
            </w:r>
          </w:p>
        </w:tc>
        <w:tc>
          <w:tcPr>
            <w:tcW w:w="1187" w:type="dxa"/>
          </w:tcPr>
          <w:p w14:paraId="7D402D0D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1.27</w:t>
            </w:r>
          </w:p>
        </w:tc>
        <w:tc>
          <w:tcPr>
            <w:tcW w:w="1187" w:type="dxa"/>
          </w:tcPr>
          <w:p w14:paraId="220D3466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64.1%</w:t>
            </w:r>
          </w:p>
        </w:tc>
        <w:tc>
          <w:tcPr>
            <w:tcW w:w="1187" w:type="dxa"/>
          </w:tcPr>
          <w:p w14:paraId="6F9FFD73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19.6%</w:t>
            </w:r>
          </w:p>
        </w:tc>
      </w:tr>
      <w:tr w14:paraId="00D7D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</w:tcPr>
          <w:p w14:paraId="76C3E973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2023</w:t>
            </w:r>
          </w:p>
        </w:tc>
        <w:tc>
          <w:tcPr>
            <w:tcW w:w="1187" w:type="dxa"/>
          </w:tcPr>
          <w:p w14:paraId="54DFCC86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26.5%</w:t>
            </w:r>
          </w:p>
        </w:tc>
        <w:tc>
          <w:tcPr>
            <w:tcW w:w="1187" w:type="dxa"/>
          </w:tcPr>
          <w:p w14:paraId="28B61250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10.8%</w:t>
            </w:r>
          </w:p>
        </w:tc>
        <w:tc>
          <w:tcPr>
            <w:tcW w:w="1187" w:type="dxa"/>
          </w:tcPr>
          <w:p w14:paraId="6BE95489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9.1%</w:t>
            </w:r>
          </w:p>
        </w:tc>
        <w:tc>
          <w:tcPr>
            <w:tcW w:w="1187" w:type="dxa"/>
          </w:tcPr>
          <w:p w14:paraId="715D04ED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1.12</w:t>
            </w:r>
          </w:p>
        </w:tc>
        <w:tc>
          <w:tcPr>
            <w:tcW w:w="1187" w:type="dxa"/>
          </w:tcPr>
          <w:p w14:paraId="1892ED5D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64.1%</w:t>
            </w:r>
          </w:p>
        </w:tc>
        <w:tc>
          <w:tcPr>
            <w:tcW w:w="1187" w:type="dxa"/>
          </w:tcPr>
          <w:p w14:paraId="57A8C69A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19.4%</w:t>
            </w:r>
          </w:p>
        </w:tc>
      </w:tr>
      <w:tr w14:paraId="24992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</w:tcPr>
          <w:p w14:paraId="733FE963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2024</w:t>
            </w:r>
          </w:p>
        </w:tc>
        <w:tc>
          <w:tcPr>
            <w:tcW w:w="1187" w:type="dxa"/>
          </w:tcPr>
          <w:p w14:paraId="75E97CE4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26.4%</w:t>
            </w:r>
          </w:p>
        </w:tc>
        <w:tc>
          <w:tcPr>
            <w:tcW w:w="1187" w:type="dxa"/>
          </w:tcPr>
          <w:p w14:paraId="19691ADC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11.4%</w:t>
            </w:r>
          </w:p>
        </w:tc>
        <w:tc>
          <w:tcPr>
            <w:tcW w:w="1187" w:type="dxa"/>
          </w:tcPr>
          <w:p w14:paraId="70383047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9.5%</w:t>
            </w:r>
          </w:p>
        </w:tc>
        <w:tc>
          <w:tcPr>
            <w:tcW w:w="1187" w:type="dxa"/>
          </w:tcPr>
          <w:p w14:paraId="36A10323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1.11</w:t>
            </w:r>
          </w:p>
        </w:tc>
        <w:tc>
          <w:tcPr>
            <w:tcW w:w="1187" w:type="dxa"/>
          </w:tcPr>
          <w:p w14:paraId="5A022C8E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62.3%</w:t>
            </w:r>
          </w:p>
        </w:tc>
        <w:tc>
          <w:tcPr>
            <w:tcW w:w="1187" w:type="dxa"/>
          </w:tcPr>
          <w:p w14:paraId="2074316F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17.0%</w:t>
            </w:r>
          </w:p>
        </w:tc>
      </w:tr>
    </w:tbl>
    <w:p w14:paraId="237C9144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从偿债能力看，流动比率稳定在 1.1 以上，短期偿债能力尚可；资产负债率由 65.5% 逐步下降至 62.3%，财务结构总体稳健（家电行业因上下游占款，资产负债率通常偏高）。运用杜邦分析法将净资产收益率（ROE）分解为"销售净利率 × 总资产周转率 × 权益乘数"，可见 ROE 由 2020 年的 22.2% 逐年回落至 2024 年的 17.0%（见图3）。结合杜邦分解，销售净利率基本稳定，ROE 下降主要源于总资产周转率（由 0.79 降至 0.67）与权益乘数（由 2.90 降至 2.65）的回落，即资产运营效率与财务杠杆的下降。</w:t>
      </w:r>
    </w:p>
    <w:p w14:paraId="7CDD9CDD">
      <w:pPr>
        <w:spacing w:before="120"/>
        <w:jc w:val="center"/>
      </w:pPr>
      <w:r>
        <w:drawing>
          <wp:inline distT="0" distB="0" distL="0" distR="0">
            <wp:extent cx="4572000" cy="3086100"/>
            <wp:effectExtent l="0" t="0" r="0" b="0"/>
            <wp:docPr id="1652377403" name="Picture 1652377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377403" name="Picture 16523774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08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7CF35">
      <w:pPr>
        <w:spacing w:after="120"/>
        <w:jc w:val="center"/>
      </w:pPr>
      <w:r>
        <w:rPr>
          <w:rFonts w:ascii="宋体" w:hAnsi="宋体" w:eastAsia="宋体"/>
          <w:color w:val="000000"/>
        </w:rPr>
        <w:t>图3 净资产收益率（ROE）</w:t>
      </w:r>
    </w:p>
    <w:p w14:paraId="5E350715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从 2024 年金融负债构成看（图4），美的集团有息负债以短期借款和一年内到期的非流动负债为主，长期借款、应付债券等长期有息负债占比相对较小，债务期限结构以短期为主。</w:t>
      </w:r>
    </w:p>
    <w:p w14:paraId="335DA0DF">
      <w:pPr>
        <w:spacing w:before="120"/>
        <w:jc w:val="center"/>
      </w:pPr>
      <w:r>
        <w:drawing>
          <wp:inline distT="0" distB="0" distL="0" distR="0">
            <wp:extent cx="4114800" cy="3657600"/>
            <wp:effectExtent l="0" t="0" r="0" b="0"/>
            <wp:docPr id="1652377404" name="Picture 1652377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377404" name="Picture 165237740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658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16899">
      <w:pPr>
        <w:spacing w:after="120"/>
        <w:jc w:val="center"/>
      </w:pPr>
      <w:r>
        <w:rPr>
          <w:rFonts w:ascii="宋体" w:hAnsi="宋体" w:eastAsia="宋体"/>
          <w:color w:val="000000"/>
        </w:rPr>
        <w:t>图4 2024年金融负债构成</w:t>
      </w:r>
    </w:p>
    <w:p w14:paraId="5A5DDC3F">
      <w:pPr>
        <w:rPr>
          <w:rFonts w:ascii="宋体" w:hAnsi="宋体" w:eastAsia="宋体"/>
          <w:b/>
          <w:color w:val="000000"/>
          <w:sz w:val="24"/>
        </w:rPr>
      </w:pPr>
      <w:bookmarkStart w:id="7" w:name="_Toc233192988"/>
      <w:r>
        <w:rPr>
          <w:rFonts w:ascii="宋体" w:hAnsi="宋体" w:eastAsia="宋体"/>
          <w:b/>
          <w:color w:val="000000"/>
          <w:sz w:val="24"/>
        </w:rPr>
        <w:br w:type="page"/>
      </w:r>
    </w:p>
    <w:p w14:paraId="2D468A67">
      <w:pPr>
        <w:spacing w:before="120" w:after="120" w:line="360" w:lineRule="auto"/>
        <w:outlineLvl w:val="1"/>
      </w:pPr>
      <w:r>
        <w:rPr>
          <w:rFonts w:ascii="宋体" w:hAnsi="宋体" w:eastAsia="宋体"/>
          <w:b/>
          <w:color w:val="000000"/>
          <w:sz w:val="24"/>
        </w:rPr>
        <w:t>（四）任务一结论</w:t>
      </w:r>
      <w:bookmarkEnd w:id="7"/>
    </w:p>
    <w:p w14:paraId="06385C93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综合来看，美的集团营业收入与净利润持续增长，盈利能力稳定、财务结构稳健，股东回报处于行业较好水平；但净资产收益率与总资产周转率近年有所下降，资产运营效率值得关注，建议公司持续优化资产周转、提升运营效率并合理控制财务杠杆。</w:t>
      </w:r>
    </w:p>
    <w:p w14:paraId="3B442DFF">
      <w:pPr>
        <w:spacing w:before="120" w:after="120" w:line="360" w:lineRule="auto"/>
        <w:outlineLvl w:val="0"/>
        <w:rPr>
          <w:rFonts w:ascii="宋体" w:hAnsi="宋体" w:eastAsia="宋体"/>
          <w:b/>
          <w:color w:val="000000"/>
          <w:sz w:val="28"/>
          <w:szCs w:val="28"/>
        </w:rPr>
      </w:pPr>
      <w:bookmarkStart w:id="8" w:name="_Toc233192989"/>
      <w:r>
        <w:rPr>
          <w:rFonts w:ascii="宋体" w:hAnsi="宋体" w:eastAsia="宋体"/>
          <w:b/>
          <w:color w:val="000000"/>
          <w:sz w:val="28"/>
          <w:szCs w:val="28"/>
        </w:rPr>
        <w:t>四、任务二：Python 应用案例分析</w:t>
      </w:r>
      <w:bookmarkEnd w:id="8"/>
    </w:p>
    <w:p w14:paraId="41A56B20">
      <w:pPr>
        <w:spacing w:before="120" w:after="120" w:line="360" w:lineRule="auto"/>
        <w:outlineLvl w:val="1"/>
      </w:pPr>
      <w:bookmarkStart w:id="9" w:name="_Toc233192990"/>
      <w:r>
        <w:rPr>
          <w:rFonts w:ascii="宋体" w:hAnsi="宋体" w:eastAsia="宋体"/>
          <w:b/>
          <w:color w:val="000000"/>
          <w:sz w:val="24"/>
        </w:rPr>
        <w:t>（一）案例0：东方公司收支数据分析</w:t>
      </w:r>
      <w:bookmarkEnd w:id="9"/>
    </w:p>
    <w:p w14:paraId="020B7C27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本案例对东方公司 2025 年 5 月的收支数据进行分析，要求计算总收入、总支出和净收支，按部门统计收支，并用折线图展示收入与支出变化。</w:t>
      </w:r>
    </w:p>
    <w:p w14:paraId="0DA68943">
      <w:pPr>
        <w:jc w:val="center"/>
      </w:pPr>
      <w:r>
        <w:rPr>
          <w:rFonts w:ascii="宋体" w:hAnsi="宋体" w:eastAsia="宋体"/>
          <w:color w:val="000000"/>
        </w:rPr>
        <w:t>表3 东方公司5月收支汇总（单位：元）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3"/>
        <w:gridCol w:w="4153"/>
      </w:tblGrid>
      <w:tr w14:paraId="041C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3" w:type="dxa"/>
          </w:tcPr>
          <w:p w14:paraId="48EC7F72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项目</w:t>
            </w:r>
          </w:p>
        </w:tc>
        <w:tc>
          <w:tcPr>
            <w:tcW w:w="4153" w:type="dxa"/>
          </w:tcPr>
          <w:p w14:paraId="33E21A6C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金额</w:t>
            </w:r>
          </w:p>
        </w:tc>
      </w:tr>
      <w:tr w14:paraId="4459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3" w:type="dxa"/>
          </w:tcPr>
          <w:p w14:paraId="5148F4FE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总收入</w:t>
            </w:r>
          </w:p>
        </w:tc>
        <w:tc>
          <w:tcPr>
            <w:tcW w:w="4153" w:type="dxa"/>
          </w:tcPr>
          <w:p w14:paraId="76EB84F8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80000</w:t>
            </w:r>
          </w:p>
        </w:tc>
      </w:tr>
      <w:tr w14:paraId="5E4A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3" w:type="dxa"/>
          </w:tcPr>
          <w:p w14:paraId="27C713FC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总支出</w:t>
            </w:r>
          </w:p>
        </w:tc>
        <w:tc>
          <w:tcPr>
            <w:tcW w:w="4153" w:type="dxa"/>
          </w:tcPr>
          <w:p w14:paraId="1B56716E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25000</w:t>
            </w:r>
          </w:p>
        </w:tc>
      </w:tr>
      <w:tr w14:paraId="3A25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3" w:type="dxa"/>
          </w:tcPr>
          <w:p w14:paraId="65C5EF44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净收支</w:t>
            </w:r>
          </w:p>
        </w:tc>
        <w:tc>
          <w:tcPr>
            <w:tcW w:w="4153" w:type="dxa"/>
          </w:tcPr>
          <w:p w14:paraId="7578E63B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55000</w:t>
            </w:r>
          </w:p>
        </w:tc>
      </w:tr>
    </w:tbl>
    <w:p w14:paraId="46E7197A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经计算，5 月总收入 80000 元，总支出 25000 元，净收支为正 55000 元，整体收支健康。分部门看，销售部是唯一创收部门（收入 80000 元），行政部和财务部仅有支出。从图5可见，收入集中在月初，支出较为分散，建议合理安排资金以保证现金流平稳。</w:t>
      </w:r>
    </w:p>
    <w:p w14:paraId="2AC93E94">
      <w:pPr>
        <w:spacing w:before="120"/>
        <w:jc w:val="center"/>
      </w:pPr>
      <w:r>
        <w:drawing>
          <wp:inline distT="0" distB="0" distL="0" distR="0">
            <wp:extent cx="4572000" cy="3054985"/>
            <wp:effectExtent l="0" t="0" r="0" b="0"/>
            <wp:docPr id="1652377405" name="Picture 1652377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377405" name="Picture 165237740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055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284C4">
      <w:pPr>
        <w:spacing w:after="120"/>
        <w:jc w:val="center"/>
      </w:pPr>
      <w:r>
        <w:rPr>
          <w:rFonts w:ascii="宋体" w:hAnsi="宋体" w:eastAsia="宋体"/>
          <w:color w:val="000000"/>
        </w:rPr>
        <w:t>图5 东方公司5月收入与支出变化</w:t>
      </w:r>
    </w:p>
    <w:p w14:paraId="155C143E">
      <w:pPr>
        <w:spacing w:before="120" w:after="120" w:line="360" w:lineRule="auto"/>
        <w:outlineLvl w:val="1"/>
      </w:pPr>
      <w:bookmarkStart w:id="10" w:name="_Toc233192991"/>
      <w:r>
        <w:rPr>
          <w:rFonts w:ascii="宋体" w:hAnsi="宋体" w:eastAsia="宋体"/>
          <w:b/>
          <w:color w:val="000000"/>
          <w:sz w:val="24"/>
        </w:rPr>
        <w:t>（二）案例1：宏大公司各地区销售数据分析</w:t>
      </w:r>
      <w:bookmarkEnd w:id="10"/>
    </w:p>
    <w:p w14:paraId="08815B7A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本案例分析宏大公司产品在五个地区的销售情况，计算各地区销售额（等于单价乘以数量），找出销售额最高、最低的地区，并从价格与销量关系等视角展开分析。</w:t>
      </w:r>
    </w:p>
    <w:p w14:paraId="659F1FB3">
      <w:pPr>
        <w:jc w:val="center"/>
      </w:pPr>
      <w:r>
        <w:rPr>
          <w:rFonts w:ascii="宋体" w:hAnsi="宋体" w:eastAsia="宋体"/>
          <w:color w:val="000000"/>
        </w:rPr>
        <w:t>表4 宏大公司各地区销售额（单位：元）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661"/>
        <w:gridCol w:w="1661"/>
        <w:gridCol w:w="1661"/>
        <w:gridCol w:w="1661"/>
      </w:tblGrid>
      <w:tr w14:paraId="20BA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61" w:type="dxa"/>
          </w:tcPr>
          <w:p w14:paraId="249001B4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地区</w:t>
            </w:r>
          </w:p>
        </w:tc>
        <w:tc>
          <w:tcPr>
            <w:tcW w:w="1661" w:type="dxa"/>
          </w:tcPr>
          <w:p w14:paraId="439E0A8A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单价</w:t>
            </w:r>
          </w:p>
        </w:tc>
        <w:tc>
          <w:tcPr>
            <w:tcW w:w="1661" w:type="dxa"/>
          </w:tcPr>
          <w:p w14:paraId="21073A29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数量</w:t>
            </w:r>
          </w:p>
        </w:tc>
        <w:tc>
          <w:tcPr>
            <w:tcW w:w="1661" w:type="dxa"/>
          </w:tcPr>
          <w:p w14:paraId="2D4EEB32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销售额</w:t>
            </w:r>
          </w:p>
        </w:tc>
        <w:tc>
          <w:tcPr>
            <w:tcW w:w="1661" w:type="dxa"/>
          </w:tcPr>
          <w:p w14:paraId="47A1AEC3">
            <w:pPr>
              <w:jc w:val="center"/>
            </w:pPr>
            <w:r>
              <w:rPr>
                <w:rFonts w:ascii="宋体" w:hAnsi="宋体" w:eastAsia="宋体"/>
                <w:b/>
                <w:color w:val="000000"/>
              </w:rPr>
              <w:t>占比</w:t>
            </w:r>
          </w:p>
        </w:tc>
      </w:tr>
      <w:tr w14:paraId="0A71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1" w:type="dxa"/>
          </w:tcPr>
          <w:p w14:paraId="246679B0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华北</w:t>
            </w:r>
          </w:p>
        </w:tc>
        <w:tc>
          <w:tcPr>
            <w:tcW w:w="1661" w:type="dxa"/>
          </w:tcPr>
          <w:p w14:paraId="0A572052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1000</w:t>
            </w:r>
          </w:p>
        </w:tc>
        <w:tc>
          <w:tcPr>
            <w:tcW w:w="1661" w:type="dxa"/>
          </w:tcPr>
          <w:p w14:paraId="4B7F92ED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40</w:t>
            </w:r>
          </w:p>
        </w:tc>
        <w:tc>
          <w:tcPr>
            <w:tcW w:w="1661" w:type="dxa"/>
          </w:tcPr>
          <w:p w14:paraId="78345D38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40000</w:t>
            </w:r>
          </w:p>
        </w:tc>
        <w:tc>
          <w:tcPr>
            <w:tcW w:w="1661" w:type="dxa"/>
          </w:tcPr>
          <w:p w14:paraId="0BE9265B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16.7%</w:t>
            </w:r>
          </w:p>
        </w:tc>
      </w:tr>
      <w:tr w14:paraId="50530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1" w:type="dxa"/>
          </w:tcPr>
          <w:p w14:paraId="3398D62A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华东</w:t>
            </w:r>
          </w:p>
        </w:tc>
        <w:tc>
          <w:tcPr>
            <w:tcW w:w="1661" w:type="dxa"/>
          </w:tcPr>
          <w:p w14:paraId="095CD5C3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1200</w:t>
            </w:r>
          </w:p>
        </w:tc>
        <w:tc>
          <w:tcPr>
            <w:tcW w:w="1661" w:type="dxa"/>
          </w:tcPr>
          <w:p w14:paraId="49815EC6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30</w:t>
            </w:r>
          </w:p>
        </w:tc>
        <w:tc>
          <w:tcPr>
            <w:tcW w:w="1661" w:type="dxa"/>
          </w:tcPr>
          <w:p w14:paraId="031DAFF8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36000</w:t>
            </w:r>
          </w:p>
        </w:tc>
        <w:tc>
          <w:tcPr>
            <w:tcW w:w="1661" w:type="dxa"/>
          </w:tcPr>
          <w:p w14:paraId="24F46EFF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15.0%</w:t>
            </w:r>
          </w:p>
        </w:tc>
      </w:tr>
      <w:tr w14:paraId="2613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1" w:type="dxa"/>
          </w:tcPr>
          <w:p w14:paraId="1C0420CF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华南</w:t>
            </w:r>
          </w:p>
        </w:tc>
        <w:tc>
          <w:tcPr>
            <w:tcW w:w="1661" w:type="dxa"/>
          </w:tcPr>
          <w:p w14:paraId="656B627D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1100</w:t>
            </w:r>
          </w:p>
        </w:tc>
        <w:tc>
          <w:tcPr>
            <w:tcW w:w="1661" w:type="dxa"/>
          </w:tcPr>
          <w:p w14:paraId="63AE4593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50</w:t>
            </w:r>
          </w:p>
        </w:tc>
        <w:tc>
          <w:tcPr>
            <w:tcW w:w="1661" w:type="dxa"/>
          </w:tcPr>
          <w:p w14:paraId="2FB01562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55000</w:t>
            </w:r>
          </w:p>
        </w:tc>
        <w:tc>
          <w:tcPr>
            <w:tcW w:w="1661" w:type="dxa"/>
          </w:tcPr>
          <w:p w14:paraId="1131298B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22.9%</w:t>
            </w:r>
          </w:p>
        </w:tc>
      </w:tr>
      <w:tr w14:paraId="3BD56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1" w:type="dxa"/>
          </w:tcPr>
          <w:p w14:paraId="55C655E8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华中</w:t>
            </w:r>
          </w:p>
        </w:tc>
        <w:tc>
          <w:tcPr>
            <w:tcW w:w="1661" w:type="dxa"/>
          </w:tcPr>
          <w:p w14:paraId="34DA9560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950</w:t>
            </w:r>
          </w:p>
        </w:tc>
        <w:tc>
          <w:tcPr>
            <w:tcW w:w="1661" w:type="dxa"/>
          </w:tcPr>
          <w:p w14:paraId="40A15386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60</w:t>
            </w:r>
          </w:p>
        </w:tc>
        <w:tc>
          <w:tcPr>
            <w:tcW w:w="1661" w:type="dxa"/>
          </w:tcPr>
          <w:p w14:paraId="080E18BF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57000</w:t>
            </w:r>
          </w:p>
        </w:tc>
        <w:tc>
          <w:tcPr>
            <w:tcW w:w="1661" w:type="dxa"/>
          </w:tcPr>
          <w:p w14:paraId="1FD7FB6E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23.8%</w:t>
            </w:r>
          </w:p>
        </w:tc>
      </w:tr>
      <w:tr w14:paraId="0EE61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1" w:type="dxa"/>
          </w:tcPr>
          <w:p w14:paraId="05B407EC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西南</w:t>
            </w:r>
          </w:p>
        </w:tc>
        <w:tc>
          <w:tcPr>
            <w:tcW w:w="1661" w:type="dxa"/>
          </w:tcPr>
          <w:p w14:paraId="66A09025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1150</w:t>
            </w:r>
          </w:p>
        </w:tc>
        <w:tc>
          <w:tcPr>
            <w:tcW w:w="1661" w:type="dxa"/>
          </w:tcPr>
          <w:p w14:paraId="38C6CA1C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45</w:t>
            </w:r>
          </w:p>
        </w:tc>
        <w:tc>
          <w:tcPr>
            <w:tcW w:w="1661" w:type="dxa"/>
          </w:tcPr>
          <w:p w14:paraId="3D4478E0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51750</w:t>
            </w:r>
          </w:p>
        </w:tc>
        <w:tc>
          <w:tcPr>
            <w:tcW w:w="1661" w:type="dxa"/>
          </w:tcPr>
          <w:p w14:paraId="06DE0803">
            <w:pPr>
              <w:jc w:val="center"/>
            </w:pPr>
            <w:r>
              <w:rPr>
                <w:rFonts w:ascii="宋体" w:hAnsi="宋体" w:eastAsia="宋体"/>
                <w:color w:val="000000"/>
              </w:rPr>
              <w:t>21.6%</w:t>
            </w:r>
          </w:p>
        </w:tc>
      </w:tr>
    </w:tbl>
    <w:p w14:paraId="2D282710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由表4和图6可见，华中地区销售额最高（57000 元，占 23.8%），华东地区最低（36000 元，占 15.0%）。值得注意的是，华东单价最高（1200 元）但销量最低（30 件），华中单价最低（950 元）却销量最高（60 件），说明价格对销量影响明显。建议公司优化高价地区的定价策略，以量补价，并在巩固华中、华南的同时提升华东、华北市场。</w:t>
      </w:r>
    </w:p>
    <w:p w14:paraId="786F50A6">
      <w:pPr>
        <w:spacing w:before="120"/>
        <w:jc w:val="center"/>
      </w:pPr>
      <w:r>
        <w:drawing>
          <wp:inline distT="0" distB="0" distL="0" distR="0">
            <wp:extent cx="4572000" cy="3054985"/>
            <wp:effectExtent l="0" t="0" r="0" b="0"/>
            <wp:docPr id="1652377406" name="Picture 165237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377406" name="Picture 165237740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055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5E737">
      <w:pPr>
        <w:spacing w:after="120"/>
        <w:jc w:val="center"/>
      </w:pPr>
      <w:r>
        <w:rPr>
          <w:rFonts w:ascii="宋体" w:hAnsi="宋体" w:eastAsia="宋体"/>
          <w:color w:val="000000"/>
        </w:rPr>
        <w:t>图6 宏大公司各地区销售额</w:t>
      </w:r>
    </w:p>
    <w:p w14:paraId="03340D04">
      <w:pPr>
        <w:spacing w:before="120" w:after="120" w:line="360" w:lineRule="auto"/>
        <w:outlineLvl w:val="0"/>
        <w:rPr>
          <w:rFonts w:ascii="宋体" w:hAnsi="宋体" w:eastAsia="宋体"/>
          <w:b/>
          <w:color w:val="000000"/>
          <w:sz w:val="28"/>
          <w:szCs w:val="28"/>
        </w:rPr>
      </w:pPr>
      <w:bookmarkStart w:id="11" w:name="_Toc233192992"/>
      <w:r>
        <w:rPr>
          <w:rFonts w:ascii="宋体" w:hAnsi="宋体" w:eastAsia="宋体"/>
          <w:b/>
          <w:color w:val="000000"/>
          <w:sz w:val="28"/>
          <w:szCs w:val="28"/>
        </w:rPr>
        <w:t>五、分析结论与拓展</w:t>
      </w:r>
      <w:bookmarkEnd w:id="11"/>
    </w:p>
    <w:p w14:paraId="7EE3F25E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（一）通过任务一可见，Python 结合财务比率分析能高效完成对上市公司的经营诊断，美的集团整体经营稳健，营收与利润持续增长，盈利能力与股东回报良好。</w:t>
      </w:r>
    </w:p>
    <w:p w14:paraId="09D60EE5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（二）通过任务二可见，Python 在企业内部经营管理（收支管理、销售分析）中同样实用，能快速从数据中发现规律、辅助决策。</w:t>
      </w:r>
    </w:p>
    <w:p w14:paraId="74060C47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（三）拓展方向：后续可引入更多年度与同行业公司进行横向对比，或结合机器学习方法进行财务预测与风险预警，使分析更具前瞻性。</w:t>
      </w:r>
    </w:p>
    <w:p w14:paraId="2711FCA0">
      <w:pPr>
        <w:spacing w:before="120" w:after="120" w:line="360" w:lineRule="auto"/>
        <w:outlineLvl w:val="0"/>
        <w:rPr>
          <w:rFonts w:ascii="宋体" w:hAnsi="宋体" w:eastAsia="宋体"/>
          <w:b/>
          <w:color w:val="000000"/>
          <w:sz w:val="28"/>
          <w:szCs w:val="28"/>
        </w:rPr>
      </w:pPr>
      <w:bookmarkStart w:id="12" w:name="_Toc233192993"/>
      <w:r>
        <w:rPr>
          <w:rFonts w:ascii="宋体" w:hAnsi="宋体" w:eastAsia="宋体"/>
          <w:b/>
          <w:color w:val="000000"/>
          <w:sz w:val="28"/>
          <w:szCs w:val="28"/>
        </w:rPr>
        <w:t>六、课程总结与心得</w:t>
      </w:r>
      <w:bookmarkEnd w:id="12"/>
    </w:p>
    <w:p w14:paraId="78155146">
      <w:pPr>
        <w:spacing w:line="360" w:lineRule="auto"/>
        <w:ind w:firstLine="480"/>
      </w:pPr>
      <w:r>
        <w:rPr>
          <w:rFonts w:ascii="宋体" w:hAnsi="宋体" w:eastAsia="宋体"/>
          <w:color w:val="000000"/>
          <w:sz w:val="24"/>
        </w:rPr>
        <w:t>通过本课程的学习，我掌握了用 Python 进行业财数据分析的完整流程，理解了财务比率、杜邦分析等核心知识点，体会到理论与应用相结合、知行合一的重要性。数据分析不仅是计算，更要结合业务背景做出合理解读与决策。在今后的学习和工作中，我将继续运用数据思维，</w:t>
      </w:r>
      <w:bookmarkStart w:id="13" w:name="_GoBack"/>
      <w:bookmarkEnd w:id="13"/>
      <w:r>
        <w:rPr>
          <w:rFonts w:ascii="宋体" w:hAnsi="宋体" w:eastAsia="宋体"/>
          <w:color w:val="000000"/>
          <w:sz w:val="24"/>
        </w:rPr>
        <w:t>提升业财融合的分析与决策能力。</w:t>
      </w:r>
    </w:p>
    <w:sectPr>
      <w:footerReference r:id="rId7" w:type="firs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6DA29">
    <w:pPr>
      <w:jc w:val="center"/>
    </w:pPr>
    <w:r>
      <w:rPr>
        <w:rFonts w:ascii="宋体" w:hAnsi="宋体" w:eastAsia="宋体"/>
        <w:color w:val="000000"/>
      </w:rPr>
      <w:fldChar w:fldCharType="begin"/>
    </w:r>
    <w:r>
      <w:rPr>
        <w:rFonts w:ascii="宋体" w:hAnsi="宋体" w:eastAsia="宋体"/>
        <w:color w:val="000000"/>
      </w:rPr>
      <w:instrText xml:space="preserve">PAGE</w:instrText>
    </w:r>
    <w:r>
      <w:rPr>
        <w:rFonts w:hint="eastAsia" w:ascii="宋体" w:hAnsi="宋体" w:eastAsia="宋体"/>
        <w:color w:val="000000"/>
      </w:rPr>
      <w:fldChar w:fldCharType="separate"/>
    </w:r>
    <w:r>
      <w:rPr>
        <w:rFonts w:hint="eastAsia" w:ascii="宋体" w:hAnsi="宋体" w:eastAsia="宋体"/>
        <w:color w:val="000000"/>
      </w:rPr>
      <w:t>2</w:t>
    </w:r>
    <w:r>
      <w:rPr>
        <w:rFonts w:ascii="宋体" w:hAnsi="宋体" w:eastAsia="宋体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445C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313FA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27FD4">
    <w:pPr>
      <w:jc w:val="center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391F06">
                          <w:pPr>
                            <w:jc w:val="center"/>
                          </w:pPr>
                          <w:r>
                            <w:rPr>
                              <w:rFonts w:ascii="宋体" w:hAnsi="宋体" w:eastAsia="宋体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color w:val="000000"/>
                            </w:rPr>
                            <w:instrText xml:space="preserve">PAGE</w:instrText>
                          </w:r>
                          <w:r>
                            <w:rPr>
                              <w:rFonts w:hint="eastAsia" w:ascii="宋体" w:hAnsi="宋体" w:eastAsia="宋体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/>
                              <w:color w:val="000000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391F06">
                    <w:pPr>
                      <w:jc w:val="center"/>
                    </w:pPr>
                    <w:r>
                      <w:rPr>
                        <w:rFonts w:ascii="宋体" w:hAnsi="宋体" w:eastAsia="宋体"/>
                        <w:color w:val="000000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color w:val="000000"/>
                      </w:rPr>
                      <w:instrText xml:space="preserve">PAGE</w:instrText>
                    </w:r>
                    <w:r>
                      <w:rPr>
                        <w:rFonts w:hint="eastAsia" w:ascii="宋体" w:hAnsi="宋体" w:eastAsia="宋体"/>
                        <w:color w:val="000000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/>
                        <w:color w:val="000000"/>
                      </w:rPr>
                      <w:t>2</w:t>
                    </w:r>
                    <w:r>
                      <w:rPr>
                        <w:rFonts w:ascii="宋体" w:hAnsi="宋体" w:eastAsia="宋体"/>
                        <w:color w:val="00000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11CC6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xNWJjNzI0YzIxMjY4NWIxOWU1ZmNmZmZjNGQ1YWMifQ=="/>
  </w:docVars>
  <w:rsids>
    <w:rsidRoot w:val="157639E8"/>
    <w:rsid w:val="00011444"/>
    <w:rsid w:val="000661E4"/>
    <w:rsid w:val="00082918"/>
    <w:rsid w:val="000A3814"/>
    <w:rsid w:val="00132539"/>
    <w:rsid w:val="00166F37"/>
    <w:rsid w:val="00171F86"/>
    <w:rsid w:val="001B62B7"/>
    <w:rsid w:val="001B73F3"/>
    <w:rsid w:val="001D75F1"/>
    <w:rsid w:val="001F2CED"/>
    <w:rsid w:val="001F66D1"/>
    <w:rsid w:val="00230B8B"/>
    <w:rsid w:val="002774DD"/>
    <w:rsid w:val="002A0838"/>
    <w:rsid w:val="002A7570"/>
    <w:rsid w:val="002F5E58"/>
    <w:rsid w:val="00315D05"/>
    <w:rsid w:val="00326F73"/>
    <w:rsid w:val="003A110B"/>
    <w:rsid w:val="004356FE"/>
    <w:rsid w:val="00511FFE"/>
    <w:rsid w:val="005411A8"/>
    <w:rsid w:val="0054175F"/>
    <w:rsid w:val="00560B7D"/>
    <w:rsid w:val="00594217"/>
    <w:rsid w:val="005E63CC"/>
    <w:rsid w:val="00627346"/>
    <w:rsid w:val="006322BB"/>
    <w:rsid w:val="006A1C47"/>
    <w:rsid w:val="006F16AB"/>
    <w:rsid w:val="00750D6B"/>
    <w:rsid w:val="007C4043"/>
    <w:rsid w:val="00807900"/>
    <w:rsid w:val="008B27CE"/>
    <w:rsid w:val="008C7C03"/>
    <w:rsid w:val="009044C4"/>
    <w:rsid w:val="00992B02"/>
    <w:rsid w:val="00997495"/>
    <w:rsid w:val="00A25231"/>
    <w:rsid w:val="00A27C70"/>
    <w:rsid w:val="00AA1B39"/>
    <w:rsid w:val="00AD66DF"/>
    <w:rsid w:val="00B2599E"/>
    <w:rsid w:val="00C360E2"/>
    <w:rsid w:val="00C5404F"/>
    <w:rsid w:val="00C62C6F"/>
    <w:rsid w:val="00C92FAF"/>
    <w:rsid w:val="00CC12E1"/>
    <w:rsid w:val="00D24344"/>
    <w:rsid w:val="00D5243B"/>
    <w:rsid w:val="00DE6EB1"/>
    <w:rsid w:val="00E035A2"/>
    <w:rsid w:val="00E91886"/>
    <w:rsid w:val="00EA7346"/>
    <w:rsid w:val="00EB39CB"/>
    <w:rsid w:val="00EF732F"/>
    <w:rsid w:val="00F41632"/>
    <w:rsid w:val="00F42778"/>
    <w:rsid w:val="00F53D5A"/>
    <w:rsid w:val="00F8657B"/>
    <w:rsid w:val="00F87B0E"/>
    <w:rsid w:val="03F813FA"/>
    <w:rsid w:val="0A262276"/>
    <w:rsid w:val="0A350E94"/>
    <w:rsid w:val="0C3628D7"/>
    <w:rsid w:val="0EA754A4"/>
    <w:rsid w:val="0EFE57AF"/>
    <w:rsid w:val="1163586F"/>
    <w:rsid w:val="12954B81"/>
    <w:rsid w:val="157639E8"/>
    <w:rsid w:val="174F7242"/>
    <w:rsid w:val="19DA2FB0"/>
    <w:rsid w:val="1CF60F38"/>
    <w:rsid w:val="1D886F23"/>
    <w:rsid w:val="20AE7790"/>
    <w:rsid w:val="25E1345C"/>
    <w:rsid w:val="279300B9"/>
    <w:rsid w:val="28C50E13"/>
    <w:rsid w:val="3092591A"/>
    <w:rsid w:val="36E967CA"/>
    <w:rsid w:val="3B215894"/>
    <w:rsid w:val="3C6F1C22"/>
    <w:rsid w:val="3EEE12AD"/>
    <w:rsid w:val="42274082"/>
    <w:rsid w:val="423716D3"/>
    <w:rsid w:val="43F94520"/>
    <w:rsid w:val="44554A3C"/>
    <w:rsid w:val="44982F47"/>
    <w:rsid w:val="46192E65"/>
    <w:rsid w:val="4A4C4A99"/>
    <w:rsid w:val="4EEB3707"/>
    <w:rsid w:val="512E2964"/>
    <w:rsid w:val="519131EE"/>
    <w:rsid w:val="52955568"/>
    <w:rsid w:val="530F1963"/>
    <w:rsid w:val="57776ECD"/>
    <w:rsid w:val="57BD23E4"/>
    <w:rsid w:val="5AA220B4"/>
    <w:rsid w:val="5DC849B3"/>
    <w:rsid w:val="6207264B"/>
    <w:rsid w:val="62375BD7"/>
    <w:rsid w:val="62C04727"/>
    <w:rsid w:val="638B27A5"/>
    <w:rsid w:val="663D7BCC"/>
    <w:rsid w:val="69B143B4"/>
    <w:rsid w:val="6A986C61"/>
    <w:rsid w:val="6FCB2D4C"/>
    <w:rsid w:val="71FE2126"/>
    <w:rsid w:val="73CC127F"/>
    <w:rsid w:val="794B2026"/>
    <w:rsid w:val="7F3F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jc w:val="center"/>
      <w:outlineLvl w:val="1"/>
    </w:pPr>
    <w:rPr>
      <w:rFonts w:ascii="Cambria" w:hAnsi="Cambria" w:eastAsia="黑体" w:cs="Times New Roman"/>
      <w:b/>
      <w:bCs/>
      <w:kern w:val="2"/>
      <w:sz w:val="30"/>
      <w:szCs w:val="3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5"/>
    <w:qFormat/>
    <w:uiPriority w:val="0"/>
    <w:rPr>
      <w:rFonts w:ascii="Calibri" w:hAnsi="Courier New" w:eastAsia="宋体" w:cs="Courier New"/>
      <w:szCs w:val="21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iPriority w:val="39"/>
  </w:style>
  <w:style w:type="paragraph" w:styleId="7">
    <w:name w:val="toc 2"/>
    <w:basedOn w:val="1"/>
    <w:next w:val="1"/>
    <w:autoRedefine/>
    <w:uiPriority w:val="39"/>
    <w:pPr>
      <w:ind w:left="420" w:leftChars="200"/>
    </w:pPr>
  </w:style>
  <w:style w:type="paragraph" w:styleId="8">
    <w:name w:val="Normal (Web)"/>
    <w:basedOn w:val="1"/>
    <w:qFormat/>
    <w:uiPriority w:val="0"/>
    <w:rPr>
      <w:rFonts w:ascii="Times New Roman" w:hAnsi="Times New Roman" w:cs="Times New Roman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1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11"/>
    <w:link w:val="4"/>
    <w:qFormat/>
    <w:uiPriority w:val="0"/>
    <w:rPr>
      <w:kern w:val="2"/>
      <w:sz w:val="18"/>
      <w:szCs w:val="18"/>
    </w:rPr>
  </w:style>
  <w:style w:type="character" w:customStyle="1" w:styleId="15">
    <w:name w:val="纯文本 字符"/>
    <w:basedOn w:val="11"/>
    <w:link w:val="3"/>
    <w:qFormat/>
    <w:uiPriority w:val="0"/>
    <w:rPr>
      <w:rFonts w:ascii="Calibri" w:hAnsi="Courier New" w:eastAsia="宋体" w:cs="Courier New"/>
      <w:kern w:val="2"/>
      <w:sz w:val="21"/>
      <w:szCs w:val="21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2442</Words>
  <Characters>2985</Characters>
  <Lines>200</Lines>
  <Paragraphs>230</Paragraphs>
  <TotalTime>0</TotalTime>
  <ScaleCrop>false</ScaleCrop>
  <LinksUpToDate>false</LinksUpToDate>
  <CharactersWithSpaces>3300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2025-06-25T03:22:00Z</dcterms:created>
  <dc:creator>张军波</dc:creator>
  <cp:lastModifiedBy>WPS_1665158381</cp:lastModifiedBy>
  <cp:lastPrinted>2020-07-25T03:42:00Z</cp:lastPrinted>
  <dcterms:modified xsi:type="dcterms:W3CDTF">2026-06-24T03:54:06Z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7D440A73213242BCB89CD56C36FD38A8_13</vt:lpwstr>
  </property>
  <property fmtid="{D5CDD505-2E9C-101B-9397-08002B2CF9AE}" pid="4" name="KSOTemplateDocerSaveRecord">
    <vt:lpwstr>eyJoZGlkIjoiNTM3MzVjZmMzZDYzNjQyMWFjNTBmMzhkZDU4OWM4OTciLCJ1c2VySWQiOiIxNDE2NjM3MTY5In0=</vt:lpwstr>
  </property>
</Properties>
</file>